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C" w:rsidRDefault="00843F6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Работодателям Челябинской области</w:t>
      </w:r>
    </w:p>
    <w:p w:rsidR="009A543C" w:rsidRDefault="009A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3C" w:rsidRDefault="00843F62">
      <w:pPr>
        <w:tabs>
          <w:tab w:val="left" w:pos="993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труду и занятости населения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лябинской области объявляет о проведении в 2025 году регионального этапа всероссийского конкурса профессионального мастерства «Лучший по профессии»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переобучившихся» (Второй старт)                   (далее – Конкурс) для переобучившихся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переподготовки в целях получения новой рабочей профессии.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организован для повышения престижа рабочих профессий, а также содействия и популяризации программ по переобучению по востребованным на рынке труда профессиям и специальностям.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два этапа: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и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для участия в Конкурсе: наличие профессиональной переподготовки по рабочей профессии в рамках федерального проекта «Содействие занятости» национального проекта «Демограф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или других программ дополнительного профессионального образования по рабочим профессиям.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по полученной специальности не менее 1 года в организациях, осуществляющих свою деятельность по основному виду в соответствии со следующим ОКВЭД: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A. Сельское, лесное хозяйство, охота, рыболовство и рыбоводство.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B. Добыча полезных ископаемых.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C. Обрабатывающие производства.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D. Обеспечение электрической энергией, газом и паром;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кондиционирование воздуха.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E. Водоснабжение;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водоотведение, организация сбора и утилизации отходов, деятельность по ликвидации загрязнений.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F. Строительство.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G. Торговля оптовая и розничная; ремонт автотранспортных средств и мотоциклов.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H. Транспортировка и хранение.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гостиниц и предприятий общественного питания.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J. Деятельность в области информации и связи.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K. Деятельность финансовая и страховая.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L. Деятельность по операциям с недвижимым имуществом.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M. Деятельность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научная и техническая.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N. Деятельность административная и сопутствующие дополнительные услуги.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O. Государственное управление и обеспечение военной безопасности; социальное обеспечение.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P. Образование.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Q. Деятельность в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здравоохранения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R. Деятельность в области культуры, спорта, организации досуга и развлечений.</w:t>
      </w:r>
    </w:p>
    <w:p w:rsidR="009A543C" w:rsidRDefault="00843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федеральном этапах является бесплатным.</w:t>
      </w:r>
    </w:p>
    <w:p w:rsidR="009A543C" w:rsidRDefault="009A543C">
      <w:pPr>
        <w:spacing w:after="0" w:line="240" w:lineRule="auto"/>
        <w:ind w:firstLine="720"/>
        <w:jc w:val="both"/>
      </w:pPr>
    </w:p>
    <w:p w:rsidR="009A543C" w:rsidRDefault="00843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задания регионального этапа состоят из трех модулей.</w:t>
      </w:r>
    </w:p>
    <w:p w:rsidR="009A543C" w:rsidRDefault="00843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Презентация профессионального пути</w:t>
      </w:r>
    </w:p>
    <w:p w:rsidR="009A543C" w:rsidRDefault="009A5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675"/>
        <w:gridCol w:w="2840"/>
        <w:gridCol w:w="2865"/>
        <w:gridCol w:w="1190"/>
      </w:tblGrid>
      <w:tr w:rsidR="009A543C">
        <w:tc>
          <w:tcPr>
            <w:tcW w:w="2802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2976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Краткое описание</w:t>
            </w:r>
          </w:p>
        </w:tc>
        <w:tc>
          <w:tcPr>
            <w:tcW w:w="2552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Механика выполнения</w:t>
            </w:r>
          </w:p>
        </w:tc>
        <w:tc>
          <w:tcPr>
            <w:tcW w:w="1240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9A543C">
        <w:tc>
          <w:tcPr>
            <w:tcW w:w="2802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Презентация профессионального пути</w:t>
            </w:r>
          </w:p>
        </w:tc>
        <w:tc>
          <w:tcPr>
            <w:tcW w:w="2976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Презентация профессионального пути выполняется по 4 блокам:</w:t>
            </w:r>
          </w:p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Первый блок - «Как </w:t>
            </w:r>
            <w:proofErr w:type="gramStart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рискнул и сменил</w:t>
            </w:r>
            <w:proofErr w:type="gramEnd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профессию»,</w:t>
            </w:r>
          </w:p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Второй блок - «Мой первый рабочий день в новой профессии»,</w:t>
            </w:r>
          </w:p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Третий бло</w:t>
            </w:r>
            <w:proofErr w:type="gramStart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к-</w:t>
            </w:r>
            <w:proofErr w:type="gramEnd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«Мои наставники»,</w:t>
            </w:r>
          </w:p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Четвертый блок - «Моя первая победа»</w:t>
            </w:r>
          </w:p>
          <w:p w:rsidR="009A543C" w:rsidRDefault="009A543C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Каждый этап представляет собой короткий рассказ о становлении в новой профессии.</w:t>
            </w:r>
          </w:p>
          <w:p w:rsidR="009A543C" w:rsidRDefault="009A543C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становлении в профессии может быть реализован в формате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профессиональном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встрече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новыми сотрудниками предприятия,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встрече, в ходе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тура, на встрече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обучающимися по этой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профессии или с теми, кто выбирает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профессиюсейчас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формате рассказа или</w:t>
            </w:r>
            <w:proofErr w:type="gram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видео-обращения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личной странице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сетях</w:t>
            </w:r>
            <w:proofErr w:type="gram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</w:t>
            </w:r>
            <w:proofErr w:type="gramEnd"/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  <w:p w:rsidR="009A543C" w:rsidRDefault="009A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Верификацией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встречи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 пост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личной странице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участника,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страницепредприятия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которойпроходила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илирегиональной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убликацияв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(разрешенных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Федерации), в том числе–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орпоративном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СМИ(разрешенных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9A543C" w:rsidRDefault="008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240" w:type="dxa"/>
            <w:noWrap/>
          </w:tcPr>
          <w:p w:rsidR="009A543C" w:rsidRDefault="00843F62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lastRenderedPageBreak/>
              <w:t>До 200</w:t>
            </w:r>
          </w:p>
        </w:tc>
      </w:tr>
    </w:tbl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Модуль 1 выполняется конкурсантом в течение 12-ти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материалы о проведенных мероприятиях загружаются на информационный ресурс в течение 5-ти рабочих дней со дня проведения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но не позднее срока окончания проведения Модуля 1.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загрузки ссылок на информационный ресурс региональная экспертная комиссия оценивает и выставляет баллы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критериями, не позднее даты завершения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сроки могут быть скорректированы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особых обстоятельств.</w:t>
      </w:r>
    </w:p>
    <w:p w:rsidR="009A543C" w:rsidRDefault="00843F62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Теоретическая часть.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Конкурса включает в себя выполнение тестовых заданий (20 вопросов) по охране труда.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 всеми конкурсантами.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прохождения тестирования – не более 30 минут.</w:t>
      </w:r>
    </w:p>
    <w:p w:rsidR="009A543C" w:rsidRDefault="00843F62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Кейс-задание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«Я – Мастер».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записывает видео, в котором обучает одному из ключевых навыков своей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практико-ориентированным, содержать пояснения выполняемых действий. Допускается запись видео частями. При отсутствии ограничений видео может быть записано с рабочего места. В видео допускается участие третьих лиц. Монтаж видео допускается, но не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обязательным условием.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видеоролик (размещенный на разрешенных в Российской Федерации информационных платформах) загружается конкурсантом на информационный ресурс не позднее 14 календарных дней до даты завершения регионального этапа.</w:t>
      </w: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конкурсных заданий регионального этапа</w:t>
      </w: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3C" w:rsidRDefault="009A543C">
      <w:pPr>
        <w:spacing w:after="0" w:line="240" w:lineRule="auto"/>
        <w:ind w:firstLine="709"/>
        <w:jc w:val="both"/>
      </w:pPr>
    </w:p>
    <w:tbl>
      <w:tblPr>
        <w:tblStyle w:val="ae"/>
        <w:tblW w:w="0" w:type="auto"/>
        <w:tblLayout w:type="fixed"/>
        <w:tblLook w:val="04A0"/>
      </w:tblPr>
      <w:tblGrid>
        <w:gridCol w:w="816"/>
        <w:gridCol w:w="6520"/>
        <w:gridCol w:w="2233"/>
      </w:tblGrid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задания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баллов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1.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Презентация профессионального пути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200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50 баллов за каждый блок)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 раскрыты темы презентации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 (по каждо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блоку)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фото-видео 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 (по каждому блоку)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рассказе раскрыты особенности новой профессии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 (по каждому блоку)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поддержана работодателем и размещена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корпоративной странице (сайте), на сайте профсоюза или на странице руководителя, наставника, коллеги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 (по каждому блоку)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2.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Тестовое задание (2 балла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правильный ответ)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3. Кейс-задание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Мастер-класс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Я-Мастер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сюжета видеоролика заявленной теме задания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значимость и применимость представленного материала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Логичность, структурированность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представляемого</w:t>
            </w:r>
            <w:proofErr w:type="gramEnd"/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укладывается в хронометраж менее 20 минут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9A543C">
        <w:trPr>
          <w:trHeight w:val="328"/>
        </w:trPr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профессиональных навыков</w:t>
            </w:r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Подтвержденный факт вовлечения работодателя в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подготовку ролика: подтвержденным фактом считается участие коллектива предприятия, съемки на рабочем месте, использование ролика в</w:t>
            </w:r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 рекомендованного материала при подготовке и/или найме новых сотрудников, размещение ролика в социальных сетях (разре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шенных в Российской Федерации) на странице предприятия, профсоюзной организации предприятия или на иных площадках</w:t>
            </w:r>
            <w:proofErr w:type="gramEnd"/>
          </w:p>
        </w:tc>
        <w:tc>
          <w:tcPr>
            <w:tcW w:w="223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520" w:type="dxa"/>
            <w:noWrap/>
          </w:tcPr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превышает 40 минут: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минут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минут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минут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и более минут</w:t>
            </w:r>
          </w:p>
        </w:tc>
        <w:tc>
          <w:tcPr>
            <w:tcW w:w="2233" w:type="dxa"/>
            <w:noWrap/>
          </w:tcPr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</w:tr>
      <w:tr w:rsidR="009A543C">
        <w:tc>
          <w:tcPr>
            <w:tcW w:w="816" w:type="dxa"/>
            <w:noWrap/>
          </w:tcPr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noWrap/>
          </w:tcPr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noWrap/>
          </w:tcPr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43C">
        <w:trPr>
          <w:trHeight w:val="322"/>
        </w:trPr>
        <w:tc>
          <w:tcPr>
            <w:tcW w:w="816" w:type="dxa"/>
            <w:vMerge w:val="restart"/>
            <w:noWrap/>
          </w:tcPr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 w:val="restart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ИТОГО</w:t>
            </w:r>
          </w:p>
        </w:tc>
        <w:tc>
          <w:tcPr>
            <w:tcW w:w="2233" w:type="dxa"/>
            <w:vMerge w:val="restart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500</w:t>
            </w:r>
          </w:p>
        </w:tc>
      </w:tr>
    </w:tbl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регионального этапа будут номинированы для участия на федеральном уровне.</w:t>
      </w:r>
    </w:p>
    <w:p w:rsidR="009A543C" w:rsidRDefault="009A543C">
      <w:pPr>
        <w:spacing w:after="0" w:line="240" w:lineRule="auto"/>
        <w:ind w:firstLine="709"/>
        <w:jc w:val="both"/>
      </w:pPr>
    </w:p>
    <w:p w:rsidR="009A543C" w:rsidRDefault="009A543C">
      <w:pPr>
        <w:spacing w:after="0" w:line="240" w:lineRule="auto"/>
        <w:ind w:firstLine="709"/>
        <w:jc w:val="both"/>
      </w:pP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этап Конкурса</w:t>
      </w:r>
    </w:p>
    <w:p w:rsidR="009A543C" w:rsidRDefault="009A5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федерального этапа состоят из трех модулей.</w:t>
      </w: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1. Презентация новой профессии</w:t>
      </w:r>
    </w:p>
    <w:tbl>
      <w:tblPr>
        <w:tblStyle w:val="ae"/>
        <w:tblW w:w="0" w:type="auto"/>
        <w:tblLayout w:type="fixed"/>
        <w:tblLook w:val="04A0"/>
      </w:tblPr>
      <w:tblGrid>
        <w:gridCol w:w="2092"/>
        <w:gridCol w:w="2268"/>
        <w:gridCol w:w="3827"/>
        <w:gridCol w:w="1383"/>
      </w:tblGrid>
      <w:tr w:rsidR="009A543C">
        <w:trPr>
          <w:trHeight w:val="261"/>
        </w:trPr>
        <w:tc>
          <w:tcPr>
            <w:tcW w:w="2092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268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827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Механика выполнения</w:t>
            </w:r>
          </w:p>
        </w:tc>
        <w:tc>
          <w:tcPr>
            <w:tcW w:w="138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A543C">
        <w:tc>
          <w:tcPr>
            <w:tcW w:w="2092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новой профессии</w:t>
            </w:r>
          </w:p>
        </w:tc>
        <w:tc>
          <w:tcPr>
            <w:tcW w:w="2268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новой профессии: «5 плюсов и возможностей моей новой работы»</w:t>
            </w:r>
          </w:p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Задача-раскрыть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преимущества полученной рабочей профессии, ее специфику доступной для широкой аудитории форме</w:t>
            </w:r>
          </w:p>
        </w:tc>
        <w:tc>
          <w:tcPr>
            <w:tcW w:w="3827" w:type="dxa"/>
            <w:noWrap/>
          </w:tcPr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может быть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проведена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класса, лекции, 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(разрешенных в Российской Федерации) или публикации материала для СМИ</w:t>
            </w:r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 в Российской</w:t>
            </w:r>
            <w:proofErr w:type="gramEnd"/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Верификацией проведения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может быть пост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личной странице участника, на странице предприятия или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в том числе на базе которой проходила встреча, или региональной службы занятости, публикация в СМИ (разрешенных в Российской Федерации), в том числе – в корпоративном СМИ </w:t>
            </w:r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 в Российской</w:t>
            </w:r>
            <w:proofErr w:type="gramEnd"/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383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</w:tr>
    </w:tbl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43C" w:rsidRDefault="00843F62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2. Теоретическая часть.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 Конкурса включает в себя выполнение тестовых заданий (20 тестовых вопросов) по охране труда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правам работников. 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Кейс-задание Видео-визитка «Знакомство с профессией».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Видео-визитка «Знакомство с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профессией»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подготовку регионом, направляющим финалиста на федеральный этап, видеоролика, демонстрирующего профессиональные качества, навыки и умения участника Конкурса, с возможностью визуальной демонстрации профессиональных достижений на раб</w:t>
      </w:r>
      <w:r>
        <w:rPr>
          <w:rFonts w:ascii="Times New Roman" w:eastAsia="Times New Roman" w:hAnsi="Times New Roman" w:cs="Times New Roman"/>
          <w:sz w:val="28"/>
          <w:szCs w:val="28"/>
        </w:rPr>
        <w:t>очем месте, особенностей и преимуществ новой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службы занятости населения субъекта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оказывают содействие при подготовке видеоролика конкурсанта – победителя регионального этапа.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 должен быть ясным, кратким, с 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спользованием конкретных примеров и подробным описанием достижений по вновь полученной рабочей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видеоролика: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Краткая информация о себе.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История карьерной траектории (трудовой путь).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Мотивы выбора новой рабочей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Пре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новой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видеоролика – не более 15 минут.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Ссылка на видеоролик (размещенный на разрешенных в Российской Федерации информационных платформах) конкурсантом загружается на информационный ресурс в период с 18.08.2025 по 08.0</w:t>
      </w:r>
      <w:r>
        <w:rPr>
          <w:rFonts w:ascii="Times New Roman" w:eastAsia="Times New Roman" w:hAnsi="Times New Roman" w:cs="Times New Roman"/>
          <w:sz w:val="28"/>
          <w:szCs w:val="28"/>
        </w:rPr>
        <w:t>9.2025.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экспертная комиссия в данном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модуле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дополнительно привлекать экспертов – представителей сферы деятельности конкурсанта – для оценки его профессиональных знаний и навыков, демонстрируемых в видеоролике.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срок до 12.09.2025 федерал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ьная экспертная комиссия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 оценку соответствия сюжета видеоролика конкурсанта заявленной теме задания и формирует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соблюдении базовых профессиональных требований, требований охраны труда и иных обязательных требований в зависимости от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16.09.2025 (начало голосования в 00:01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по 30.09.2025 (завершение голосования в 20:00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общедоступном информационном ресурсе будет обеспечено «народное голосование» за видеоролики конкурсантов федерального этапа и по ито</w:t>
      </w:r>
      <w:r>
        <w:rPr>
          <w:rFonts w:ascii="Times New Roman" w:eastAsia="Times New Roman" w:hAnsi="Times New Roman" w:cs="Times New Roman"/>
          <w:sz w:val="28"/>
          <w:szCs w:val="28"/>
        </w:rPr>
        <w:t>гам голосования начислены баллы в зависимости от процента проголосовавших за каждый ролик: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50 баллов – от 1,0% до 5,0% от всех голосов,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75 баллов – от 5,1% до 7,0% голосов,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100 баллов – участнику, находящемуся на третьем месте по количеству голосов;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150 баллов – участнику, находящемуся на втором месте по количеству голосов;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200 баллов – участнику, набравшему наибольшее количество голосов.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доля голосов за участника, находящегося на первом, втором и/или третьем месте по количеству голосов,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менее 7,0%, участнику начисляется 200, 150 или 100 баллов соответственно.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сроки могут быть скорректированы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наличия особых обстоятельств.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 «Урок профессий» (практическое задание)</w:t>
      </w:r>
    </w:p>
    <w:tbl>
      <w:tblPr>
        <w:tblStyle w:val="ae"/>
        <w:tblW w:w="0" w:type="auto"/>
        <w:tblLayout w:type="fixed"/>
        <w:tblLook w:val="04A0"/>
      </w:tblPr>
      <w:tblGrid>
        <w:gridCol w:w="2392"/>
        <w:gridCol w:w="2109"/>
        <w:gridCol w:w="3402"/>
        <w:gridCol w:w="1666"/>
      </w:tblGrid>
      <w:tr w:rsidR="009A543C">
        <w:tc>
          <w:tcPr>
            <w:tcW w:w="2392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  <w:p w:rsidR="009A543C" w:rsidRDefault="009A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прохождения</w:t>
            </w:r>
          </w:p>
        </w:tc>
        <w:tc>
          <w:tcPr>
            <w:tcW w:w="3402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6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A543C">
        <w:tc>
          <w:tcPr>
            <w:tcW w:w="2392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профессии</w:t>
            </w:r>
          </w:p>
        </w:tc>
        <w:tc>
          <w:tcPr>
            <w:tcW w:w="2109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проведение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10-ти минут, на вопросы экспертов или участников урока профессий –не более 5-ти минут</w:t>
            </w:r>
          </w:p>
        </w:tc>
        <w:tc>
          <w:tcPr>
            <w:tcW w:w="3402" w:type="dxa"/>
            <w:noWrap/>
          </w:tcPr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Формируются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Конкурса по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5-10 человек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</w:t>
            </w:r>
            <w:proofErr w:type="gramEnd"/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профессиям (группы</w:t>
            </w:r>
            <w:proofErr w:type="gramEnd"/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определяются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перед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федеральным этапом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списка победителей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 этапов).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выступают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школьниками 9 – 11 классов</w:t>
            </w:r>
          </w:p>
          <w:p w:rsidR="009A543C" w:rsidRDefault="00843F6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(будет предусмотрена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proofErr w:type="gramEnd"/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и возможность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выставления баллов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ионно) и</w:t>
            </w:r>
          </w:p>
          <w:p w:rsidR="009A543C" w:rsidRDefault="00843F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</w:p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 комиссии.</w:t>
            </w:r>
          </w:p>
        </w:tc>
        <w:tc>
          <w:tcPr>
            <w:tcW w:w="1666" w:type="dxa"/>
            <w:noWrap/>
          </w:tcPr>
          <w:p w:rsidR="009A543C" w:rsidRDefault="00843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200</w:t>
            </w:r>
          </w:p>
        </w:tc>
      </w:tr>
    </w:tbl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Урок профессий проводится с целью популяризации рабочих профессий среди школьников, стоящих перед выбором своей будущей профессии.</w:t>
      </w:r>
    </w:p>
    <w:p w:rsidR="009A543C" w:rsidRDefault="00843F6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 будет способствовать знакомству с тонкостями и</w:t>
      </w:r>
    </w:p>
    <w:p w:rsidR="009A543C" w:rsidRDefault="00843F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содержанием практического применения полученных профессиональных знаний, что повысит уровень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проводимого урока и заинтересованности школьников в выборе рабочей про</w:t>
      </w:r>
      <w:r>
        <w:rPr>
          <w:rFonts w:ascii="Times New Roman" w:eastAsia="Times New Roman" w:hAnsi="Times New Roman" w:cs="Times New Roman"/>
          <w:sz w:val="28"/>
          <w:szCs w:val="28"/>
        </w:rPr>
        <w:t>фессии с целью обеспеченности высокой кадровой потребности работодателей Российской Федерации.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участие в региональном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осуществляется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июня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проведения Конкурса обращаться в Главное управление по труду и занятости населения Челябинской области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Челябинск, ул. Комсомольская, 18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отдел регулирования трудовых отношений и развития социального партнерства,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 102, контактные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 Афиногенова Ирина Аркадьевна, Замятина Ольга Маратовна телефон: (351) 237-08-92,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8" w:tooltip="http://Afinogenova_IA@szn74.ru" w:history="1">
        <w:r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Afinogenova_IA@szn74.ru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9" w:tooltip="mailto:Zamyatina_OM@szn74.ru." w:history="1">
        <w:r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Zamyatina_OM@szn74.ru.</w:t>
        </w:r>
      </w:hyperlink>
    </w:p>
    <w:p w:rsidR="009A543C" w:rsidRDefault="00843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участника по подаче заявки на Всероссийский конкурс профессионального мастерства «Лучший по профессии» (ссылка);</w:t>
      </w:r>
    </w:p>
    <w:p w:rsidR="009A543C" w:rsidRDefault="00843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организации и проведению конкурса профессионального маст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ерства «Лучший по профессии» (ссылка) , размещены на официальном сайте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Главного управления по труду и занятости населения Челябинской области: szn.gov74.ru.</w:t>
      </w:r>
    </w:p>
    <w:p w:rsidR="009A543C" w:rsidRDefault="009A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43C" w:rsidRDefault="0084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Полная информация о проведении Конкурса размещена на официальном сайте Главного управления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www.szn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74.ru) в разделе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/ Социальное партнёрство / Конкурсы / Региональный этап всероссийского конкурса в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переобучившихся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(Второй старт) /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43C" w:rsidRDefault="009A543C">
      <w:pPr>
        <w:tabs>
          <w:tab w:val="left" w:pos="2280"/>
        </w:tabs>
        <w:rPr>
          <w:sz w:val="28"/>
          <w:szCs w:val="28"/>
        </w:rPr>
      </w:pPr>
    </w:p>
    <w:p w:rsidR="009A543C" w:rsidRDefault="009A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543C" w:rsidRDefault="009A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A543C" w:rsidSect="009A543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3C" w:rsidRDefault="00843F62">
      <w:pPr>
        <w:spacing w:after="0" w:line="240" w:lineRule="auto"/>
      </w:pPr>
      <w:r>
        <w:separator/>
      </w:r>
    </w:p>
  </w:endnote>
  <w:endnote w:type="continuationSeparator" w:id="1">
    <w:p w:rsidR="009A543C" w:rsidRDefault="0084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3C" w:rsidRDefault="00843F62">
      <w:pPr>
        <w:spacing w:after="0" w:line="240" w:lineRule="auto"/>
      </w:pPr>
      <w:r>
        <w:separator/>
      </w:r>
    </w:p>
  </w:footnote>
  <w:footnote w:type="continuationSeparator" w:id="1">
    <w:p w:rsidR="009A543C" w:rsidRDefault="0084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30D5"/>
    <w:multiLevelType w:val="hybridMultilevel"/>
    <w:tmpl w:val="2ABE2F64"/>
    <w:lvl w:ilvl="0" w:tplc="7B90CCD4">
      <w:start w:val="1"/>
      <w:numFmt w:val="decimal"/>
      <w:lvlText w:val="%1."/>
      <w:lvlJc w:val="left"/>
      <w:pPr>
        <w:ind w:left="1418" w:hanging="360"/>
      </w:pPr>
    </w:lvl>
    <w:lvl w:ilvl="1" w:tplc="7BFCD04A">
      <w:start w:val="1"/>
      <w:numFmt w:val="lowerLetter"/>
      <w:lvlText w:val="%2."/>
      <w:lvlJc w:val="left"/>
      <w:pPr>
        <w:ind w:left="2138" w:hanging="360"/>
      </w:pPr>
    </w:lvl>
    <w:lvl w:ilvl="2" w:tplc="34DE7694">
      <w:start w:val="1"/>
      <w:numFmt w:val="lowerRoman"/>
      <w:lvlText w:val="%3."/>
      <w:lvlJc w:val="right"/>
      <w:pPr>
        <w:ind w:left="2858" w:hanging="180"/>
      </w:pPr>
    </w:lvl>
    <w:lvl w:ilvl="3" w:tplc="837EF9BA">
      <w:start w:val="1"/>
      <w:numFmt w:val="decimal"/>
      <w:lvlText w:val="%4."/>
      <w:lvlJc w:val="left"/>
      <w:pPr>
        <w:ind w:left="3578" w:hanging="360"/>
      </w:pPr>
    </w:lvl>
    <w:lvl w:ilvl="4" w:tplc="162AAC86">
      <w:start w:val="1"/>
      <w:numFmt w:val="lowerLetter"/>
      <w:lvlText w:val="%5."/>
      <w:lvlJc w:val="left"/>
      <w:pPr>
        <w:ind w:left="4298" w:hanging="360"/>
      </w:pPr>
    </w:lvl>
    <w:lvl w:ilvl="5" w:tplc="0FB861C6">
      <w:start w:val="1"/>
      <w:numFmt w:val="lowerRoman"/>
      <w:lvlText w:val="%6."/>
      <w:lvlJc w:val="right"/>
      <w:pPr>
        <w:ind w:left="5018" w:hanging="180"/>
      </w:pPr>
    </w:lvl>
    <w:lvl w:ilvl="6" w:tplc="6B54EEE6">
      <w:start w:val="1"/>
      <w:numFmt w:val="decimal"/>
      <w:lvlText w:val="%7."/>
      <w:lvlJc w:val="left"/>
      <w:pPr>
        <w:ind w:left="5738" w:hanging="360"/>
      </w:pPr>
    </w:lvl>
    <w:lvl w:ilvl="7" w:tplc="B5B8DAE8">
      <w:start w:val="1"/>
      <w:numFmt w:val="lowerLetter"/>
      <w:lvlText w:val="%8."/>
      <w:lvlJc w:val="left"/>
      <w:pPr>
        <w:ind w:left="6458" w:hanging="360"/>
      </w:pPr>
    </w:lvl>
    <w:lvl w:ilvl="8" w:tplc="891C568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43C"/>
    <w:rsid w:val="00843F62"/>
    <w:rsid w:val="009A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A543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A543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A543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A543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A543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A543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A543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A543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A543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A54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A54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A54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A54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A54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A54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A54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A54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A54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543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A543C"/>
    <w:rPr>
      <w:sz w:val="24"/>
      <w:szCs w:val="24"/>
    </w:rPr>
  </w:style>
  <w:style w:type="character" w:customStyle="1" w:styleId="QuoteChar">
    <w:name w:val="Quote Char"/>
    <w:uiPriority w:val="29"/>
    <w:rsid w:val="009A543C"/>
    <w:rPr>
      <w:i/>
    </w:rPr>
  </w:style>
  <w:style w:type="character" w:customStyle="1" w:styleId="IntenseQuoteChar">
    <w:name w:val="Intense Quote Char"/>
    <w:uiPriority w:val="30"/>
    <w:rsid w:val="009A543C"/>
    <w:rPr>
      <w:i/>
    </w:rPr>
  </w:style>
  <w:style w:type="character" w:customStyle="1" w:styleId="HeaderChar">
    <w:name w:val="Header Char"/>
    <w:basedOn w:val="a0"/>
    <w:uiPriority w:val="99"/>
    <w:rsid w:val="009A543C"/>
  </w:style>
  <w:style w:type="character" w:customStyle="1" w:styleId="FooterChar">
    <w:name w:val="Footer Char"/>
    <w:basedOn w:val="a0"/>
    <w:uiPriority w:val="99"/>
    <w:rsid w:val="009A543C"/>
  </w:style>
  <w:style w:type="character" w:customStyle="1" w:styleId="CaptionChar">
    <w:name w:val="Caption Char"/>
    <w:basedOn w:val="a0"/>
    <w:uiPriority w:val="35"/>
    <w:rsid w:val="009A543C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9A543C"/>
    <w:rPr>
      <w:sz w:val="18"/>
    </w:rPr>
  </w:style>
  <w:style w:type="character" w:customStyle="1" w:styleId="EndnoteTextChar">
    <w:name w:val="Endnote Text Char"/>
    <w:uiPriority w:val="99"/>
    <w:rsid w:val="009A543C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9A543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9A543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A543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A543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A543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A543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A54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A543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A543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A543C"/>
    <w:pPr>
      <w:ind w:left="720"/>
      <w:contextualSpacing/>
    </w:pPr>
  </w:style>
  <w:style w:type="paragraph" w:styleId="a4">
    <w:name w:val="No Spacing"/>
    <w:uiPriority w:val="1"/>
    <w:qFormat/>
    <w:rsid w:val="009A543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A543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A543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A543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43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A543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A543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A54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A543C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9A543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9A543C"/>
  </w:style>
  <w:style w:type="paragraph" w:customStyle="1" w:styleId="Footer">
    <w:name w:val="Footer"/>
    <w:basedOn w:val="a"/>
    <w:link w:val="ac"/>
    <w:uiPriority w:val="99"/>
    <w:unhideWhenUsed/>
    <w:rsid w:val="009A543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Footer"/>
    <w:uiPriority w:val="99"/>
    <w:rsid w:val="009A543C"/>
  </w:style>
  <w:style w:type="paragraph" w:customStyle="1" w:styleId="Caption">
    <w:name w:val="Caption"/>
    <w:basedOn w:val="a"/>
    <w:next w:val="a"/>
    <w:link w:val="ad"/>
    <w:uiPriority w:val="35"/>
    <w:semiHidden/>
    <w:unhideWhenUsed/>
    <w:qFormat/>
    <w:rsid w:val="009A543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Caption"/>
    <w:uiPriority w:val="35"/>
    <w:rsid w:val="009A543C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rsid w:val="009A54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A54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A54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A5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54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5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A543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A543C"/>
    <w:rPr>
      <w:sz w:val="18"/>
    </w:rPr>
  </w:style>
  <w:style w:type="character" w:styleId="af1">
    <w:name w:val="footnote reference"/>
    <w:basedOn w:val="a0"/>
    <w:uiPriority w:val="99"/>
    <w:unhideWhenUsed/>
    <w:rsid w:val="009A543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A543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A543C"/>
    <w:rPr>
      <w:sz w:val="20"/>
    </w:rPr>
  </w:style>
  <w:style w:type="character" w:styleId="af4">
    <w:name w:val="endnote reference"/>
    <w:basedOn w:val="a0"/>
    <w:uiPriority w:val="99"/>
    <w:semiHidden/>
    <w:unhideWhenUsed/>
    <w:rsid w:val="009A543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A543C"/>
    <w:pPr>
      <w:spacing w:after="57"/>
    </w:pPr>
  </w:style>
  <w:style w:type="paragraph" w:styleId="22">
    <w:name w:val="toc 2"/>
    <w:basedOn w:val="a"/>
    <w:next w:val="a"/>
    <w:uiPriority w:val="39"/>
    <w:unhideWhenUsed/>
    <w:rsid w:val="009A543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A543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A543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A543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A543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A543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A543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A543C"/>
    <w:pPr>
      <w:spacing w:after="57"/>
      <w:ind w:left="2268"/>
    </w:pPr>
  </w:style>
  <w:style w:type="paragraph" w:styleId="af5">
    <w:name w:val="TOC Heading"/>
    <w:uiPriority w:val="39"/>
    <w:unhideWhenUsed/>
    <w:rsid w:val="009A543C"/>
  </w:style>
  <w:style w:type="paragraph" w:styleId="af6">
    <w:name w:val="table of figures"/>
    <w:basedOn w:val="a"/>
    <w:next w:val="a"/>
    <w:uiPriority w:val="99"/>
    <w:unhideWhenUsed/>
    <w:rsid w:val="009A543C"/>
    <w:pPr>
      <w:spacing w:after="0"/>
    </w:pPr>
  </w:style>
  <w:style w:type="character" w:styleId="af7">
    <w:name w:val="Hyperlink"/>
    <w:basedOn w:val="a0"/>
    <w:uiPriority w:val="99"/>
    <w:unhideWhenUsed/>
    <w:rsid w:val="009A543C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A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A54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543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inogenova_IA@szn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yatina_OM@szn74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F7AD-4A4D-47E4-AEA6-8C3C4D68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1951</Words>
  <Characters>11121</Characters>
  <Application>Microsoft Office Word</Application>
  <DocSecurity>0</DocSecurity>
  <Lines>92</Lines>
  <Paragraphs>26</Paragraphs>
  <ScaleCrop>false</ScaleCrop>
  <Company>Microsoft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</dc:creator>
  <cp:lastModifiedBy>Sharafutdinova</cp:lastModifiedBy>
  <cp:revision>2</cp:revision>
  <dcterms:created xsi:type="dcterms:W3CDTF">2025-04-29T08:03:00Z</dcterms:created>
  <dcterms:modified xsi:type="dcterms:W3CDTF">2025-04-29T08:03:00Z</dcterms:modified>
</cp:coreProperties>
</file>