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A" w:rsidRDefault="009F402A" w:rsidP="009F402A">
      <w:pPr>
        <w:pStyle w:val="1"/>
        <w:spacing w:before="150" w:beforeAutospacing="0" w:after="120" w:afterAutospacing="0" w:line="630" w:lineRule="atLeast"/>
        <w:rPr>
          <w:rFonts w:ascii="Arial" w:hAnsi="Arial" w:cs="Arial"/>
          <w:b w:val="0"/>
          <w:bCs w:val="0"/>
          <w:color w:val="A60064"/>
          <w:sz w:val="53"/>
          <w:szCs w:val="53"/>
        </w:rPr>
      </w:pPr>
      <w:r>
        <w:rPr>
          <w:rFonts w:ascii="Arial" w:hAnsi="Arial" w:cs="Arial"/>
          <w:b w:val="0"/>
          <w:bCs w:val="0"/>
          <w:color w:val="A60064"/>
          <w:sz w:val="53"/>
          <w:szCs w:val="53"/>
        </w:rPr>
        <w:t xml:space="preserve">Неформальная занятость в России сократилась на 1,5 </w:t>
      </w:r>
      <w:proofErr w:type="spellStart"/>
      <w:proofErr w:type="gramStart"/>
      <w:r>
        <w:rPr>
          <w:rFonts w:ascii="Arial" w:hAnsi="Arial" w:cs="Arial"/>
          <w:b w:val="0"/>
          <w:bCs w:val="0"/>
          <w:color w:val="A60064"/>
          <w:sz w:val="53"/>
          <w:szCs w:val="53"/>
        </w:rPr>
        <w:t>млн</w:t>
      </w:r>
      <w:proofErr w:type="spellEnd"/>
      <w:proofErr w:type="gramEnd"/>
      <w:r>
        <w:rPr>
          <w:rFonts w:ascii="Arial" w:hAnsi="Arial" w:cs="Arial"/>
          <w:b w:val="0"/>
          <w:bCs w:val="0"/>
          <w:color w:val="A60064"/>
          <w:sz w:val="53"/>
          <w:szCs w:val="53"/>
        </w:rPr>
        <w:t xml:space="preserve"> человек</w:t>
      </w:r>
    </w:p>
    <w:p w:rsidR="009F402A" w:rsidRDefault="009F402A" w:rsidP="009F402A"/>
    <w:p w:rsidR="009F402A" w:rsidRDefault="009F402A" w:rsidP="009F402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Количество занятых в неформальном секторе россиян во втором квартале 2022 года уменьшилось относительно аналогичного прошлогоднего периода на 1,5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человек, до 13,4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подсчитала аналитическая служба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аудиторско-консалтинговой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FinExpertiza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среднем в апреле - июне в этом сегменте трудилось 18,7% всех работников, то есть почти каждый пятый.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Неформальная занятость особенно распространена в небогатых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регионах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напряженной ситуацией на рынке труда, низкими доходами населения и высокой безработицей. Менее характерен такой тип занятости для крупнейших городов и промышленно развитых регионов, где основу экономики составляют крупные и средние предприятия.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Самый высокий уровень неформальной занятости отмечается в Ингушетии (56,6% от всех работников), Дагестане (48,6%), Чечне (45,4%), Кабардино-Балкарии (45,3%), Карачаево-Черкесии (42,5%), Республике Алтай (38,8%), Северной Осетии (36,1%), Хакасии (34,7%), Ставропольском крае (34,2%) и Крыму (32,7%).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Минимальна занятость в неформальном секторе в Чукотском автономном округе (1%), Москве (3%), Санкт-Петербурге (6,7%), Ненецком автономном округе (7%), Ханты-Мансийском автономном округе (7,4%), Московской области (9%), Республике Коми (9,5%), Мурманской области (9,6%), Ямало-Ненецком автономном округе (10,2%) и Псковской области (11,2%).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</w:rPr>
        <w:t xml:space="preserve">Кризис </w:t>
      </w:r>
      <w:proofErr w:type="gramStart"/>
      <w:r>
        <w:rPr>
          <w:rFonts w:ascii="Arial" w:hAnsi="Arial" w:cs="Arial"/>
          <w:b/>
          <w:bCs/>
          <w:color w:val="000000"/>
        </w:rPr>
        <w:t>бьет по неформалам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Аналитики использовали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данные Росстата о занятости в неформальном секторе. Согласно официальной методологии, к работникам неформального сектора относятся нанятые у физических лиц или трудящиеся на предприятии без официального статуса юридического лица. Речь идет 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самозанятых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индивидуальных предпринимателях и их сотрудниках, работниках семейных и любых бизнесов, у которых отсутствует регистрация в качестве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юрлица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. Это могут быть репетиторы, няни, водители, строители, работники общепита, торговли, сельского хозяйства и любые специалисты, в том числе самой высокой квалификации, к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примеру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врачи, юристы и инженеры, если они работают вне корпоративного сегмента.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Работа в неформальном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секторе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может быть постоянной или являться временной подработкой, при этом человек может совмещать работу в неформальном и формальном </w:t>
      </w: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сегментах. Неформальный сектор не идентичен теневой экономике. Деятельность таких предприятий не обязательно связана с преднамеренным уклонением от налогов и другими нарушениями. Трудовые отношения в неформальном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секторе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могут оформляться официально либо основываться на устных договоренностях без подписания каких-либо документов.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Во втором квартале 2022 года среднемесячное количество занятых в неформальном секторе составило 13,44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человек, уменьшившись по сравнению с аналогичным периодом 2021 года на 1,5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человек, или на 10%. В результате доля занятых в неформальном сегменте снизилась с 20,9% до 18,7%.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Особенно заметно в годовом выражении неформальная занятость сокращалась в мае - на 1,85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человек. А минимальное, со времен апрельского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локдауна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2020 года, количество трудящихся в этом секторе фиксировалось в феврале - 12,9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человек. По последним данным в июне в неформальном секторе трудилось 13,5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россиян. Для большинства из них работа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микробизнесе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была единственным источником заработка, лишь около 6% одновременно были трудоустроены в формальном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секторе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Количество занятых в неформальном секторе по кварталам,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человек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15000" cy="2905125"/>
            <wp:effectExtent l="19050" t="0" r="0" b="0"/>
            <wp:docPr id="2" name="Рисунок 2" descr="Исслед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след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"Количество трудящихся в неформальном секторе снизилось, несмотря на увеличение общего числа занятых. Это произошло за счет перераспределения работников между разными секторами рынка труда: численность занятых на предприятиях с официальным статусом юридического лица выросла во втором квартале на 1,79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человек, в то время как работающих по найму у индивидуальных предпринимателей и у физических лиц, а также в фермерском хозяйстве стало меньше на 1,44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человек. Дополнительно на 100 тыс.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сократилось количество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занятых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собственном домашнем хозяйстве. Таким образом, занятость в формальном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секторе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корпоративных и государственных организациях - традиционно оказалась более устойчивой, чем в небольшом частном бизнесе. В то же время фиксируется рост количества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самозанятых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Крупные и средние предприятия и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целом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госсектор остаются относительным оплотом стабильности на рынке труда, поскольку в кризисные периоды стремятся сохранять штат. Небольшие же предприятия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микробизнес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критически зависящие от розничного спроса, не могут позволить себе держать персонал в ожидании стабилизации экономической ситуации", - констатирует президент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FinExpertiza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Елена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Трубникова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</w:rPr>
        <w:t xml:space="preserve">Региональный </w:t>
      </w:r>
      <w:proofErr w:type="spellStart"/>
      <w:r>
        <w:rPr>
          <w:rFonts w:ascii="Arial" w:hAnsi="Arial" w:cs="Arial"/>
          <w:b/>
          <w:bCs/>
          <w:color w:val="000000"/>
        </w:rPr>
        <w:t>неформализм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Доля неформальной занятости на региональных рынках труда зависит от общего уровня благополучия, в частности от безработицы - чем статистически она выше, тем, как правило, выше и уровень неформальной занятости. В то же время фиксируется обратная зависимость от уровня доходов населения - они тем ниже, чем большая доля людей трудится в неформальном секторе. Таким образом, неформальная занятость продолжает оставаться скорее зоной низкого благополучия - для нее по большей части свойственны невысокие заработки и переменный характер работы. Часто это сезонный труд на сельскохозяйственных работах, в сфере услуг, торговле или на стройке. Значительная часть работников в небогатых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регионах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трудится в неформальном секторе за неимением других альтернатив.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Абсолютным лидером по распространенности неформальной занятости является Северный Кавказ. Среди отдельных регионов наибольшая доля работников трудится в неформальном секторе в Ингушетии (56,6% от всех занятых, то есть свыше половины), Дагестане (48,6%), Чечне (45,4%), Кабардино-Балкарии (45,3%), Карачаево-Черкесии (42,5%), Республике Алтай (38,8%), Северной Осетии (36,1%), Хакасии (34,7%), Ставропольском крае (34,2%) и Крыму (32,7%).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Регионы с наибольшей долей неформальной занятости во II кв. 2022 г.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5000" cy="3076575"/>
            <wp:effectExtent l="19050" t="0" r="0" b="0"/>
            <wp:docPr id="3" name="Рисунок 3" descr="Исследов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следова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 целом самый низкий уровень неформальной занятости отмечается в крупнейших российских городах и на северных территориях с развитой промышленностью и преобладанием крупного и среднего бизнеса. Менее всего такой тип занятости распространен в Чукотском автономном округе (1% от всех работников), Москве (3%), Санкт-Петербурге (6,7%), Ненецком автономном округе (7%), Ханты-Мансийском автономном округе (7,4%), Московской области (9%), Республике Коми (9,5%), Мурманской области (9,6%), Ямало-Ненецком автономном округе (10,2%) и Псковской области (11,2%).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Регионы с наименьшей долей неформальной занятости во II кв. 2022 г.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715000" cy="3228975"/>
            <wp:effectExtent l="19050" t="0" r="0" b="0"/>
            <wp:docPr id="4" name="Рисунок 4" descr="Исследов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следование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2A" w:rsidRDefault="009F402A" w:rsidP="009F402A">
      <w:pPr>
        <w:numPr>
          <w:ilvl w:val="0"/>
          <w:numId w:val="1"/>
        </w:numPr>
        <w:spacing w:line="270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7BFF"/>
          <w:sz w:val="21"/>
          <w:szCs w:val="21"/>
          <w:lang w:eastAsia="ru-RU"/>
        </w:rPr>
        <w:lastRenderedPageBreak/>
        <w:drawing>
          <wp:inline distT="0" distB="0" distL="0" distR="0">
            <wp:extent cx="2524125" cy="1609725"/>
            <wp:effectExtent l="19050" t="0" r="9525" b="0"/>
            <wp:docPr id="5" name="Рисунок 5" descr="https://finexpertiza.ru/upload/resize_cache/iblock/6c5/0qk6sklipmvx1uzwwjsga93l07hirbk6/265_265_1/Rabota-8_mi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nexpertiza.ru/upload/resize_cache/iblock/6c5/0qk6sklipmvx1uzwwjsga93l07hirbk6/265_265_1/Rabota-8_mi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2A" w:rsidRDefault="009F402A" w:rsidP="009F402A">
      <w:pPr>
        <w:numPr>
          <w:ilvl w:val="0"/>
          <w:numId w:val="1"/>
        </w:numPr>
        <w:spacing w:line="270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7BFF"/>
          <w:sz w:val="21"/>
          <w:szCs w:val="21"/>
          <w:lang w:eastAsia="ru-RU"/>
        </w:rPr>
        <w:drawing>
          <wp:inline distT="0" distB="0" distL="0" distR="0">
            <wp:extent cx="2524125" cy="1285875"/>
            <wp:effectExtent l="19050" t="0" r="9525" b="0"/>
            <wp:docPr id="6" name="Рисунок 6" descr="https://finexpertiza.ru/upload/resize_cache/iblock/e7f/05j612mnskm0tzunqkxhldnqthhn6ogl/265_265_1/1_min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nexpertiza.ru/upload/resize_cache/iblock/e7f/05j612mnskm0tzunqkxhldnqthhn6ogl/265_265_1/1_min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2A" w:rsidRDefault="009F402A" w:rsidP="009F402A">
      <w:pPr>
        <w:numPr>
          <w:ilvl w:val="0"/>
          <w:numId w:val="1"/>
        </w:numPr>
        <w:spacing w:line="270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7BFF"/>
          <w:sz w:val="21"/>
          <w:szCs w:val="21"/>
          <w:lang w:eastAsia="ru-RU"/>
        </w:rPr>
        <w:drawing>
          <wp:inline distT="0" distB="0" distL="0" distR="0">
            <wp:extent cx="2524125" cy="1362075"/>
            <wp:effectExtent l="19050" t="0" r="9525" b="0"/>
            <wp:docPr id="7" name="Рисунок 7" descr="https://finexpertiza.ru/upload/resize_cache/iblock/db7/vn0iqw6pwn9gkau759x6vhz8ew7za937/265_265_1/2_mi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nexpertiza.ru/upload/resize_cache/iblock/db7/vn0iqw6pwn9gkau759x6vhz8ew7za937/265_265_1/2_mi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2A" w:rsidRDefault="009F402A" w:rsidP="009F402A">
      <w:pPr>
        <w:numPr>
          <w:ilvl w:val="0"/>
          <w:numId w:val="1"/>
        </w:numPr>
        <w:spacing w:line="270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7BFF"/>
          <w:sz w:val="21"/>
          <w:szCs w:val="21"/>
          <w:lang w:eastAsia="ru-RU"/>
        </w:rPr>
        <w:drawing>
          <wp:inline distT="0" distB="0" distL="0" distR="0">
            <wp:extent cx="2524125" cy="1428750"/>
            <wp:effectExtent l="19050" t="0" r="9525" b="0"/>
            <wp:docPr id="8" name="Рисунок 8" descr="https://finexpertiza.ru/upload/resize_cache/iblock/cc3/cl33ftav3mftn0mnribk4qnqe9zn5dcn/265_265_1/3_mi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nexpertiza.ru/upload/resize_cache/iblock/cc3/cl33ftav3mftn0mnribk4qnqe9zn5dcn/265_265_1/3_mi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2A" w:rsidRDefault="009F402A" w:rsidP="009F402A">
      <w:pPr>
        <w:jc w:val="left"/>
      </w:pPr>
    </w:p>
    <w:sectPr w:rsidR="009F402A" w:rsidSect="00BA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53E"/>
    <w:multiLevelType w:val="multilevel"/>
    <w:tmpl w:val="C8E8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1148B"/>
    <w:multiLevelType w:val="multilevel"/>
    <w:tmpl w:val="C208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02A"/>
    <w:rsid w:val="009F402A"/>
    <w:rsid w:val="00BA04D2"/>
    <w:rsid w:val="00E3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D2"/>
  </w:style>
  <w:style w:type="paragraph" w:styleId="1">
    <w:name w:val="heading 1"/>
    <w:basedOn w:val="a"/>
    <w:link w:val="10"/>
    <w:uiPriority w:val="9"/>
    <w:qFormat/>
    <w:rsid w:val="009F402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0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4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F402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wnload">
    <w:name w:val="download"/>
    <w:basedOn w:val="a0"/>
    <w:rsid w:val="009F402A"/>
  </w:style>
  <w:style w:type="paragraph" w:styleId="a4">
    <w:name w:val="Normal (Web)"/>
    <w:basedOn w:val="a"/>
    <w:uiPriority w:val="99"/>
    <w:semiHidden/>
    <w:unhideWhenUsed/>
    <w:rsid w:val="009F402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626">
          <w:marLeft w:val="525"/>
          <w:marRight w:val="5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01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60064"/>
                    <w:right w:val="none" w:sz="0" w:space="0" w:color="auto"/>
                  </w:divBdr>
                </w:div>
                <w:div w:id="8699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9D9D9"/>
                        <w:right w:val="none" w:sz="0" w:space="0" w:color="auto"/>
                      </w:divBdr>
                      <w:divsChild>
                        <w:div w:id="2544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1216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9D9D9"/>
                        <w:right w:val="none" w:sz="0" w:space="0" w:color="auto"/>
                      </w:divBdr>
                      <w:divsChild>
                        <w:div w:id="21070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79310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9D9D9"/>
                        <w:right w:val="none" w:sz="0" w:space="0" w:color="auto"/>
                      </w:divBdr>
                      <w:divsChild>
                        <w:div w:id="16219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96663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9D9D9"/>
                        <w:right w:val="none" w:sz="0" w:space="0" w:color="auto"/>
                      </w:divBdr>
                      <w:divsChild>
                        <w:div w:id="19332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37408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4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9D9D9"/>
                        <w:right w:val="none" w:sz="0" w:space="0" w:color="auto"/>
                      </w:divBdr>
                      <w:divsChild>
                        <w:div w:id="387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75123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53074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6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15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expertiza.ru/upload/iblock/6c5/0qk6sklipmvx1uzwwjsga93l07hirbk6/Rabota-8_min.jp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finexpertiza.ru/upload/iblock/db7/vn0iqw6pwn9gkau759x6vhz8ew7za937/2_min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finexpertiza.ru/upload/iblock/e7f/05j612mnskm0tzunqkxhldnqthhn6ogl/1_mi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finexpertiza.ru/upload/iblock/cc3/cl33ftav3mftn0mnribk4qnqe9zn5dcn/3_min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5523</Characters>
  <Application>Microsoft Office Word</Application>
  <DocSecurity>0</DocSecurity>
  <Lines>46</Lines>
  <Paragraphs>12</Paragraphs>
  <ScaleCrop>false</ScaleCrop>
  <Company>Microsoft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2022-10-05T04:46:00Z</dcterms:created>
  <dcterms:modified xsi:type="dcterms:W3CDTF">2022-10-05T04:50:00Z</dcterms:modified>
</cp:coreProperties>
</file>